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091F">
      <w:pPr>
        <w:jc w:val="center"/>
      </w:pPr>
      <w:r>
        <w:t>生漆精制 PLC 自动化控制系统集成项目招标文件技术规范及投标报价表</w:t>
      </w:r>
    </w:p>
    <w:p w14:paraId="7F4FBB41">
      <w:r>
        <w:t>一、项目核心技术规范要求</w:t>
      </w:r>
    </w:p>
    <w:p w14:paraId="30CFBA61">
      <w:r>
        <w:t>1.1 项目概况</w:t>
      </w:r>
    </w:p>
    <w:p w14:paraId="2C2DE831">
      <w:pPr>
        <w:numPr>
          <w:ilvl w:val="0"/>
          <w:numId w:val="1"/>
        </w:numPr>
      </w:pPr>
      <w:r>
        <w:t>项目名称：生漆提纯精制 PLC 自动化控制系统集成项目</w:t>
      </w:r>
    </w:p>
    <w:p w14:paraId="7831682E">
      <w:pPr>
        <w:numPr>
          <w:ilvl w:val="0"/>
          <w:numId w:val="1"/>
        </w:numPr>
      </w:pPr>
      <w:r>
        <w:t>实施地点：湖北荆州（长江艺术工程职业学院）</w:t>
      </w:r>
    </w:p>
    <w:p w14:paraId="1A769863">
      <w:pPr>
        <w:numPr>
          <w:ilvl w:val="0"/>
          <w:numId w:val="1"/>
        </w:numPr>
      </w:pPr>
      <w:r>
        <w:t>建设目标：搭建生漆精制全流程自控系统，实现设备自动运行、工况监控、故障报警、4G 远程移动端数据查看，系统开放可扩展，满足安全生产、环保、电气安全等全部国标要求。</w:t>
      </w:r>
    </w:p>
    <w:p w14:paraId="52C0C230">
      <w:pPr>
        <w:numPr>
          <w:ilvl w:val="0"/>
          <w:numId w:val="1"/>
        </w:numPr>
      </w:pPr>
      <w:r>
        <w:t>实施范围：包含 PLC 控制柜成套、现场仪表、电气辅材、旧电柜改造、程序开发、现场调试、培训、质保售后全流程服务。</w:t>
      </w:r>
    </w:p>
    <w:p w14:paraId="47E69C6E">
      <w:r>
        <w:t>1.2 核心技术要求</w:t>
      </w:r>
    </w:p>
    <w:p w14:paraId="750BFE80">
      <w:pPr>
        <w:numPr>
          <w:ilvl w:val="0"/>
          <w:numId w:val="2"/>
        </w:numPr>
      </w:pPr>
      <w:r>
        <w:t>主控系统统一采用西门子 S7-1500 系列 PLC + 西门子精智触摸屏，配套 4G 远程通讯模块，支持移动端数据查看与报警推送。</w:t>
      </w:r>
    </w:p>
    <w:p w14:paraId="682F6CD5">
      <w:pPr>
        <w:numPr>
          <w:ilvl w:val="0"/>
          <w:numId w:val="2"/>
        </w:numPr>
      </w:pPr>
      <w:r>
        <w:t>系统预留充足资源：程序内存占用≤70%，插槽备用≥20%，I/O 备用点位≥15%，支持后期工艺扩容。</w:t>
      </w:r>
    </w:p>
    <w:p w14:paraId="7E6F1CCA">
      <w:pPr>
        <w:numPr>
          <w:ilvl w:val="0"/>
          <w:numId w:val="2"/>
        </w:numPr>
      </w:pPr>
      <w:r>
        <w:t>系统软硬件完全开放，控制程序完整交付源代码，无加密、无使用限制，工艺参数密码书面移交甲方。</w:t>
      </w:r>
    </w:p>
    <w:p w14:paraId="07B0636D">
      <w:pPr>
        <w:numPr>
          <w:ilvl w:val="0"/>
          <w:numId w:val="2"/>
        </w:numPr>
      </w:pPr>
      <w:r>
        <w:t>全线配置完整安全防护联锁，电气防护等级≥IP54，接地电阻≤0.1Ω，符合国家电气安全规范。</w:t>
      </w:r>
    </w:p>
    <w:p w14:paraId="14E311C2">
      <w:pPr>
        <w:numPr>
          <w:ilvl w:val="0"/>
          <w:numId w:val="2"/>
        </w:numPr>
      </w:pPr>
      <w:r>
        <w:t>所有元器件需符合指定品牌准入要求，投标文件需逐条响应技术条款，偏离项需单独说明。</w:t>
      </w:r>
    </w:p>
    <w:p w14:paraId="662D0C0D">
      <w:r>
        <w:t>1.3 核心元器件指定品牌清单</w:t>
      </w:r>
    </w:p>
    <w:p w14:paraId="693440FC">
      <w:r>
        <w:t>表格</w:t>
      </w:r>
    </w:p>
    <w:tbl>
      <w:tblPr>
        <w:tblStyle w:val="13"/>
        <w:tblW w:w="0" w:type="auto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870"/>
        <w:gridCol w:w="3682"/>
        <w:gridCol w:w="2355"/>
      </w:tblGrid>
      <w:tr w14:paraId="648E3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14AE03D4">
            <w:pPr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</w:tcPr>
          <w:p w14:paraId="72D58E4A">
            <w:pPr>
              <w:rPr>
                <w:b/>
                <w:bCs/>
              </w:rPr>
            </w:pPr>
            <w:r>
              <w:rPr>
                <w:b/>
                <w:bCs/>
              </w:rPr>
              <w:t>分类</w:t>
            </w:r>
          </w:p>
        </w:tc>
        <w:tc>
          <w:tcPr>
            <w:tcW w:w="0" w:type="auto"/>
            <w:vAlign w:val="center"/>
          </w:tcPr>
          <w:p w14:paraId="05C0A885">
            <w:pPr>
              <w:rPr>
                <w:b/>
                <w:bCs/>
              </w:rPr>
            </w:pPr>
            <w:r>
              <w:rPr>
                <w:b/>
                <w:bCs/>
              </w:rPr>
              <w:t>元器件名称</w:t>
            </w:r>
          </w:p>
        </w:tc>
        <w:tc>
          <w:tcPr>
            <w:tcW w:w="0" w:type="auto"/>
            <w:vAlign w:val="center"/>
          </w:tcPr>
          <w:p w14:paraId="4B0D9EB4">
            <w:pPr>
              <w:rPr>
                <w:b/>
                <w:bCs/>
              </w:rPr>
            </w:pPr>
            <w:r>
              <w:rPr>
                <w:b/>
                <w:bCs/>
              </w:rPr>
              <w:t>允许选用品牌</w:t>
            </w:r>
          </w:p>
        </w:tc>
      </w:tr>
      <w:tr w14:paraId="6C957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EA98471">
            <w:r>
              <w:t>1</w:t>
            </w:r>
          </w:p>
        </w:tc>
        <w:tc>
          <w:tcPr>
            <w:tcW w:w="0" w:type="auto"/>
            <w:vAlign w:val="center"/>
          </w:tcPr>
          <w:p w14:paraId="084AC68F">
            <w:r>
              <w:t>主控单元</w:t>
            </w:r>
          </w:p>
        </w:tc>
        <w:tc>
          <w:tcPr>
            <w:tcW w:w="0" w:type="auto"/>
            <w:vAlign w:val="center"/>
          </w:tcPr>
          <w:p w14:paraId="37B017D1">
            <w:r>
              <w:t>PLC 主机及扩展模块</w:t>
            </w:r>
          </w:p>
        </w:tc>
        <w:tc>
          <w:tcPr>
            <w:tcW w:w="0" w:type="auto"/>
            <w:vAlign w:val="center"/>
          </w:tcPr>
          <w:p w14:paraId="798E8BC8">
            <w:r>
              <w:t>西门子 S7-1500 系列</w:t>
            </w:r>
          </w:p>
        </w:tc>
      </w:tr>
      <w:tr w14:paraId="4C6CE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CE4C784">
            <w:r>
              <w:t>2</w:t>
            </w:r>
          </w:p>
        </w:tc>
        <w:tc>
          <w:tcPr>
            <w:tcW w:w="0" w:type="auto"/>
            <w:vAlign w:val="center"/>
          </w:tcPr>
          <w:p w14:paraId="2FC6DAF6">
            <w:r>
              <w:t>人机界面</w:t>
            </w:r>
          </w:p>
        </w:tc>
        <w:tc>
          <w:tcPr>
            <w:tcW w:w="0" w:type="auto"/>
            <w:vAlign w:val="center"/>
          </w:tcPr>
          <w:p w14:paraId="7ACAD832">
            <w:r>
              <w:t>触摸屏</w:t>
            </w:r>
          </w:p>
        </w:tc>
        <w:tc>
          <w:tcPr>
            <w:tcW w:w="0" w:type="auto"/>
            <w:vAlign w:val="center"/>
          </w:tcPr>
          <w:p w14:paraId="52D4E548">
            <w:r>
              <w:t>西门子精智系列</w:t>
            </w:r>
          </w:p>
        </w:tc>
      </w:tr>
      <w:tr w14:paraId="5B8C9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85BF37B">
            <w:r>
              <w:t>3</w:t>
            </w:r>
          </w:p>
        </w:tc>
        <w:tc>
          <w:tcPr>
            <w:tcW w:w="0" w:type="auto"/>
            <w:vAlign w:val="center"/>
          </w:tcPr>
          <w:p w14:paraId="4A987718">
            <w:r>
              <w:t>低压电气</w:t>
            </w:r>
          </w:p>
        </w:tc>
        <w:tc>
          <w:tcPr>
            <w:tcW w:w="0" w:type="auto"/>
            <w:vAlign w:val="center"/>
          </w:tcPr>
          <w:p w14:paraId="561DC383">
            <w:r>
              <w:t>断路器、接触器、继电器、端子</w:t>
            </w:r>
          </w:p>
        </w:tc>
        <w:tc>
          <w:tcPr>
            <w:tcW w:w="0" w:type="auto"/>
            <w:vAlign w:val="center"/>
          </w:tcPr>
          <w:p w14:paraId="4EE252BA">
            <w:r>
              <w:t>施耐德</w:t>
            </w:r>
          </w:p>
        </w:tc>
      </w:tr>
      <w:tr w14:paraId="2A5F7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B8E22CE">
            <w:r>
              <w:t>4</w:t>
            </w:r>
          </w:p>
        </w:tc>
        <w:tc>
          <w:tcPr>
            <w:tcW w:w="0" w:type="auto"/>
            <w:vAlign w:val="center"/>
          </w:tcPr>
          <w:p w14:paraId="56DA088F">
            <w:r>
              <w:t>驱动设备</w:t>
            </w:r>
          </w:p>
        </w:tc>
        <w:tc>
          <w:tcPr>
            <w:tcW w:w="0" w:type="auto"/>
            <w:vAlign w:val="center"/>
          </w:tcPr>
          <w:p w14:paraId="058739FB">
            <w:r>
              <w:t>变频器</w:t>
            </w:r>
          </w:p>
        </w:tc>
        <w:tc>
          <w:tcPr>
            <w:tcW w:w="0" w:type="auto"/>
            <w:vAlign w:val="center"/>
          </w:tcPr>
          <w:p w14:paraId="2FC81878">
            <w:r>
              <w:t>ABB、西门子、三菱</w:t>
            </w:r>
          </w:p>
        </w:tc>
      </w:tr>
      <w:tr w14:paraId="251A4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B2F9620">
            <w:r>
              <w:t>5</w:t>
            </w:r>
          </w:p>
        </w:tc>
        <w:tc>
          <w:tcPr>
            <w:tcW w:w="0" w:type="auto"/>
            <w:vAlign w:val="center"/>
          </w:tcPr>
          <w:p w14:paraId="5B9F02CB">
            <w:r>
              <w:t>检测传感</w:t>
            </w:r>
          </w:p>
        </w:tc>
        <w:tc>
          <w:tcPr>
            <w:tcW w:w="0" w:type="auto"/>
            <w:vAlign w:val="center"/>
          </w:tcPr>
          <w:p w14:paraId="7E3B1649">
            <w:r>
              <w:t>热电阻、雷达液位计、光电 / 接近开关</w:t>
            </w:r>
          </w:p>
        </w:tc>
        <w:tc>
          <w:tcPr>
            <w:tcW w:w="0" w:type="auto"/>
            <w:vAlign w:val="center"/>
          </w:tcPr>
          <w:p w14:paraId="3BD2E7FB">
            <w:r>
              <w:t>SICK、巴鲁夫、欧姆龙</w:t>
            </w:r>
          </w:p>
        </w:tc>
      </w:tr>
      <w:tr w14:paraId="48E3A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CF936D6">
            <w:r>
              <w:t>6</w:t>
            </w:r>
          </w:p>
        </w:tc>
        <w:tc>
          <w:tcPr>
            <w:tcW w:w="0" w:type="auto"/>
            <w:vAlign w:val="center"/>
          </w:tcPr>
          <w:p w14:paraId="7FB9A4DA">
            <w:r>
              <w:t>动力驱动</w:t>
            </w:r>
          </w:p>
        </w:tc>
        <w:tc>
          <w:tcPr>
            <w:tcW w:w="0" w:type="auto"/>
            <w:vAlign w:val="center"/>
          </w:tcPr>
          <w:p w14:paraId="0FF63BCE">
            <w:r>
              <w:t>伺服电机、伺服驱动器</w:t>
            </w:r>
          </w:p>
        </w:tc>
        <w:tc>
          <w:tcPr>
            <w:tcW w:w="0" w:type="auto"/>
            <w:vAlign w:val="center"/>
          </w:tcPr>
          <w:p w14:paraId="74610402">
            <w:r>
              <w:t>西门子、三菱、伦茨</w:t>
            </w:r>
          </w:p>
        </w:tc>
      </w:tr>
      <w:tr w14:paraId="2519D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08D88E6">
            <w:r>
              <w:t>7</w:t>
            </w:r>
          </w:p>
        </w:tc>
        <w:tc>
          <w:tcPr>
            <w:tcW w:w="0" w:type="auto"/>
            <w:vAlign w:val="center"/>
          </w:tcPr>
          <w:p w14:paraId="30C9C934">
            <w:r>
              <w:t>远程终端</w:t>
            </w:r>
          </w:p>
        </w:tc>
        <w:tc>
          <w:tcPr>
            <w:tcW w:w="0" w:type="auto"/>
            <w:vAlign w:val="center"/>
          </w:tcPr>
          <w:p w14:paraId="4838AE13">
            <w:r>
              <w:t>工业平板</w:t>
            </w:r>
          </w:p>
        </w:tc>
        <w:tc>
          <w:tcPr>
            <w:tcW w:w="0" w:type="auto"/>
            <w:vAlign w:val="center"/>
          </w:tcPr>
          <w:p w14:paraId="417AF51B">
            <w:r>
              <w:t>国产 12.5 寸平板</w:t>
            </w:r>
          </w:p>
        </w:tc>
      </w:tr>
      <w:tr w14:paraId="034A7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C4DD003">
            <w:r>
              <w:t>8</w:t>
            </w:r>
          </w:p>
        </w:tc>
        <w:tc>
          <w:tcPr>
            <w:tcW w:w="0" w:type="auto"/>
            <w:vAlign w:val="center"/>
          </w:tcPr>
          <w:p w14:paraId="0031E8C6">
            <w:r>
              <w:t>线缆</w:t>
            </w:r>
          </w:p>
        </w:tc>
        <w:tc>
          <w:tcPr>
            <w:tcW w:w="0" w:type="auto"/>
            <w:vAlign w:val="center"/>
          </w:tcPr>
          <w:p w14:paraId="15BB93C7">
            <w:r>
              <w:t>动力、控制电线电缆</w:t>
            </w:r>
          </w:p>
        </w:tc>
        <w:tc>
          <w:tcPr>
            <w:tcW w:w="0" w:type="auto"/>
            <w:vAlign w:val="center"/>
          </w:tcPr>
          <w:p w14:paraId="5820F456">
            <w:r>
              <w:t>宝胜、青缆、阳谷耐克森</w:t>
            </w:r>
          </w:p>
        </w:tc>
      </w:tr>
      <w:tr w14:paraId="0FA4D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A65DABA">
            <w:r>
              <w:t>9</w:t>
            </w:r>
          </w:p>
        </w:tc>
        <w:tc>
          <w:tcPr>
            <w:tcW w:w="0" w:type="auto"/>
            <w:vAlign w:val="center"/>
          </w:tcPr>
          <w:p w14:paraId="1084F06F">
            <w:r>
              <w:t>接插件</w:t>
            </w:r>
          </w:p>
        </w:tc>
        <w:tc>
          <w:tcPr>
            <w:tcW w:w="0" w:type="auto"/>
            <w:vAlign w:val="center"/>
          </w:tcPr>
          <w:p w14:paraId="57089B27">
            <w:r>
              <w:t>工业插头、插座</w:t>
            </w:r>
          </w:p>
        </w:tc>
        <w:tc>
          <w:tcPr>
            <w:tcW w:w="0" w:type="auto"/>
            <w:vAlign w:val="center"/>
          </w:tcPr>
          <w:p w14:paraId="0035164A">
            <w:r>
              <w:t>施耐德、曼奈柯斯</w:t>
            </w:r>
          </w:p>
        </w:tc>
      </w:tr>
    </w:tbl>
    <w:p w14:paraId="41CC4A65">
      <w:r>
        <w:t>二、投标报价分项明细表</w:t>
      </w:r>
    </w:p>
    <w:p w14:paraId="554ED897">
      <w:r>
        <w:t>2.1 报价说明</w:t>
      </w:r>
    </w:p>
    <w:p w14:paraId="4CD80B58">
      <w:pPr>
        <w:numPr>
          <w:ilvl w:val="0"/>
          <w:numId w:val="3"/>
        </w:numPr>
      </w:pPr>
      <w:r>
        <w:t>本报价表所有分项报价均为含税总价，包含设备制造、运输、安装、调试、培训、质保、税费等全部费用，甲方无需额外支付其他费用。</w:t>
      </w:r>
    </w:p>
    <w:p w14:paraId="17381DCA">
      <w:pPr>
        <w:numPr>
          <w:ilvl w:val="0"/>
          <w:numId w:val="3"/>
        </w:numPr>
      </w:pPr>
      <w:r>
        <w:t>投标人需填写每一项的单价与合价，合价 = 单价 × 数量，所有合价汇总后填入投标报价汇总表。</w:t>
      </w:r>
    </w:p>
    <w:p w14:paraId="5EDB9AA9">
      <w:pPr>
        <w:numPr>
          <w:ilvl w:val="0"/>
          <w:numId w:val="3"/>
        </w:numPr>
      </w:pPr>
      <w:r>
        <w:t>技术服务类项目按 “次” 为单位填报总价，无需拆分单价。</w:t>
      </w:r>
    </w:p>
    <w:p w14:paraId="145FBA12"/>
    <w:p w14:paraId="2CCE25E6"/>
    <w:p w14:paraId="79D50180">
      <w:pPr>
        <w:rPr>
          <w:rFonts w:hint="eastAsia"/>
        </w:rPr>
      </w:pPr>
    </w:p>
    <w:tbl>
      <w:tblPr>
        <w:tblStyle w:val="1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3969"/>
        <w:gridCol w:w="709"/>
        <w:gridCol w:w="709"/>
        <w:gridCol w:w="850"/>
        <w:gridCol w:w="709"/>
      </w:tblGrid>
      <w:tr w14:paraId="27AE0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8A0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431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ED42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603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8C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1BE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CD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总价</w:t>
            </w:r>
          </w:p>
        </w:tc>
      </w:tr>
      <w:tr w14:paraId="587B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16F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34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PLC 控制柜               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D5D6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1.柜体：仿威图柜 ：2100*800*600                                                    1.PLC:西门子S7-1500系列 CPU:                    s7-1513-1PN/ET200SPI/O                                       2.通讯：以太网TCP/IP              3.配置AI:24点 AO:12,DI:64点DO:80点                                         4.触摸屏：西门子精智屏TP1500              6.远程通讯模块（ 4G）-iPad  7.iPad（12.5）（国产）：1台。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86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9D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0F5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125C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BB9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DB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5B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工程师服务费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0240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按控制要求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6E04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AA46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52A60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2A0AFF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296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126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E6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现场调试及 旅差费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24D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调试人工费交通及住宿费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9E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9C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DB0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445A2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A26C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314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951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  计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DFE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F0E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4C1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4D8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1BA1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4EA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F0AB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报价说明：此报价第一项含13%增值税 。第二、三项含6%增值税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58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EC8B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EFE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技术说明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5C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1. PLC系统：西门子s7-1513-1PN+ET200SP I/O                                                                    2. 电气元件：施耐德，触摸屏：西门子精智屏TP1500  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91619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8035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9F2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付款方式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6D2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A4D2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73EF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156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供货周期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E7C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30天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AA45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937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61C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1AC9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现场仪表及改造费用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753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C5C1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6272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9484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BCE86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36B8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2E0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BF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423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6B3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6A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0ED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878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总价</w:t>
            </w:r>
          </w:p>
        </w:tc>
      </w:tr>
      <w:tr w14:paraId="4E652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47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3B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热电阻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2B75D1A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M27*2   L =330 3支  L=430：2支 ф12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F9A0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7E1A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CB32B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5FFEA3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390F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66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15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温控仪表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67EB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温控 测量报警 通讯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D440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CE17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584D0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55FC44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680C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22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AB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变频器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6B9B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ABB：2.2KW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33E1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63A2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6666C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48C132C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E4F5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28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1B5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雷达液位计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1F38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法兰：DN80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CAEC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E17B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5418F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5593B12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63B0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78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80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隔离中间继电器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76C2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DC24V/2/2 含底座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0BD9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只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91E0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6E9AF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400456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76FB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EB3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22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C00E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IC65N/D16A/3P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F215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只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3E84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7B5B7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C1DAF8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43CC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D7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E0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486F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LC-2510M7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E542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只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2817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0761B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77711B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9B73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89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E5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热继电器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30E1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0.64A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3E51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只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B67D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038FF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1C9B4C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4E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5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06B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接线端子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28F7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UK2.5B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B147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1CCC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D8981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F958D3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651D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DA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55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电线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CAD54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RV1.O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65DA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6F6C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9D870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05E958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CE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30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19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按钮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B537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1NO/1NC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0CC4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D3F0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BF3F1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7BF70F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FA15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62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D8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指示灯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B012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AC220V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4AFF4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5026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E30E1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5CC232D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A23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35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FF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附件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9DE3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1EC5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81E9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548B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5CDE973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E540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FF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1C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电柜内部改造费用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20B87A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现场电柜改造3台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4C7F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C3B6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4C833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5A00C14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3C1F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31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36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电柜改造旅差费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3D723D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BAD3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6399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FC291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F009AC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2A3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2DF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E5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2AE7E9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未知事项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F335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5157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88DD7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46718E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C53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96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CE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14:paraId="2B234EE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9690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2B47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5725D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8953C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5C2C0C3E">
      <w:r>
        <w:t>三、投标报价汇总表</w:t>
      </w:r>
    </w:p>
    <w:p w14:paraId="20DE8888">
      <w:r>
        <w:t>表格</w:t>
      </w:r>
    </w:p>
    <w:tbl>
      <w:tblPr>
        <w:tblStyle w:val="13"/>
        <w:tblW w:w="0" w:type="auto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710"/>
        <w:gridCol w:w="1085"/>
        <w:gridCol w:w="1935"/>
      </w:tblGrid>
      <w:tr w14:paraId="61607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1428935D">
            <w:pPr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</w:tcPr>
          <w:p w14:paraId="73AA14F9">
            <w:pPr>
              <w:rPr>
                <w:b/>
                <w:bCs/>
              </w:rPr>
            </w:pPr>
            <w:r>
              <w:rPr>
                <w:b/>
                <w:bCs/>
              </w:rPr>
              <w:t>报价项目</w:t>
            </w:r>
          </w:p>
        </w:tc>
        <w:tc>
          <w:tcPr>
            <w:tcW w:w="0" w:type="auto"/>
            <w:vAlign w:val="center"/>
          </w:tcPr>
          <w:p w14:paraId="5EF38B84">
            <w:pPr>
              <w:rPr>
                <w:b/>
                <w:bCs/>
              </w:rPr>
            </w:pPr>
            <w:r>
              <w:rPr>
                <w:b/>
                <w:bCs/>
              </w:rPr>
              <w:t>金额（元）</w:t>
            </w:r>
          </w:p>
        </w:tc>
        <w:tc>
          <w:tcPr>
            <w:tcW w:w="0" w:type="auto"/>
            <w:vAlign w:val="center"/>
          </w:tcPr>
          <w:p w14:paraId="403C38EB">
            <w:pPr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14:paraId="69E7D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C465C0E">
            <w:r>
              <w:t>1</w:t>
            </w:r>
          </w:p>
        </w:tc>
        <w:tc>
          <w:tcPr>
            <w:tcW w:w="0" w:type="auto"/>
            <w:vAlign w:val="center"/>
          </w:tcPr>
          <w:p w14:paraId="424658DB">
            <w:r>
              <w:t>投标总价（含税）</w:t>
            </w:r>
          </w:p>
        </w:tc>
        <w:tc>
          <w:tcPr>
            <w:tcW w:w="0" w:type="auto"/>
            <w:vAlign w:val="center"/>
          </w:tcPr>
          <w:p w14:paraId="1FCBA63F"/>
        </w:tc>
        <w:tc>
          <w:tcPr>
            <w:tcW w:w="0" w:type="auto"/>
            <w:vAlign w:val="center"/>
          </w:tcPr>
          <w:p w14:paraId="62B58CCF">
            <w:r>
              <w:t>分项合价合计</w:t>
            </w:r>
          </w:p>
        </w:tc>
      </w:tr>
      <w:tr w14:paraId="68AB2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F35044B">
            <w:r>
              <w:t>2</w:t>
            </w:r>
          </w:p>
        </w:tc>
        <w:tc>
          <w:tcPr>
            <w:tcW w:w="0" w:type="auto"/>
            <w:vAlign w:val="center"/>
          </w:tcPr>
          <w:p w14:paraId="2FF2B6FF">
            <w:r>
              <w:t>大写总价</w:t>
            </w:r>
          </w:p>
        </w:tc>
        <w:tc>
          <w:tcPr>
            <w:tcW w:w="0" w:type="auto"/>
            <w:vAlign w:val="center"/>
          </w:tcPr>
          <w:p w14:paraId="0D6310F5"/>
        </w:tc>
        <w:tc>
          <w:tcPr>
            <w:tcW w:w="0" w:type="auto"/>
            <w:vAlign w:val="center"/>
          </w:tcPr>
          <w:p w14:paraId="2C8E42F3">
            <w:r>
              <w:t>人民币 圆整</w:t>
            </w:r>
          </w:p>
        </w:tc>
      </w:tr>
      <w:tr w14:paraId="4F4A7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8870419">
            <w:r>
              <w:t>3</w:t>
            </w:r>
          </w:p>
        </w:tc>
        <w:tc>
          <w:tcPr>
            <w:tcW w:w="0" w:type="auto"/>
            <w:vAlign w:val="center"/>
          </w:tcPr>
          <w:p w14:paraId="3EB4DEEA">
            <w:r>
              <w:t>增值税税率</w:t>
            </w:r>
          </w:p>
        </w:tc>
        <w:tc>
          <w:tcPr>
            <w:tcW w:w="0" w:type="auto"/>
            <w:vAlign w:val="center"/>
          </w:tcPr>
          <w:p w14:paraId="3BD89AD0"/>
        </w:tc>
        <w:tc>
          <w:tcPr>
            <w:tcW w:w="0" w:type="auto"/>
            <w:vAlign w:val="center"/>
          </w:tcPr>
          <w:p w14:paraId="7FB7F54D">
            <w:r>
              <w:t>按国家现行税率填报</w:t>
            </w:r>
          </w:p>
        </w:tc>
      </w:tr>
      <w:tr w14:paraId="2DDD3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81242F4">
            <w:r>
              <w:t>4</w:t>
            </w:r>
          </w:p>
        </w:tc>
        <w:tc>
          <w:tcPr>
            <w:tcW w:w="0" w:type="auto"/>
            <w:vAlign w:val="center"/>
          </w:tcPr>
          <w:p w14:paraId="6F9F82AC">
            <w:r>
              <w:t>质保期承诺</w:t>
            </w:r>
          </w:p>
        </w:tc>
        <w:tc>
          <w:tcPr>
            <w:tcW w:w="0" w:type="auto"/>
            <w:vAlign w:val="center"/>
          </w:tcPr>
          <w:p w14:paraId="55650063"/>
        </w:tc>
        <w:tc>
          <w:tcPr>
            <w:tcW w:w="0" w:type="auto"/>
            <w:vAlign w:val="center"/>
          </w:tcPr>
          <w:p w14:paraId="1ECCB234">
            <w:r>
              <w:t>不低于 12 个月</w:t>
            </w:r>
          </w:p>
        </w:tc>
      </w:tr>
    </w:tbl>
    <w:p w14:paraId="1BD4E81F">
      <w:r>
        <w:t>投标人盖章确认：</w:t>
      </w:r>
    </w:p>
    <w:p w14:paraId="51D9A11D">
      <w:r>
        <w:t>法定代表人 / 授权代表人签字：</w:t>
      </w:r>
    </w:p>
    <w:p w14:paraId="2506A3B0">
      <w:r>
        <w:t>日期： 年 月 日</w:t>
      </w:r>
    </w:p>
    <w:p w14:paraId="0AC25BBA">
      <w:r>
        <w:t>四、验收、服务与质保要求</w:t>
      </w:r>
    </w:p>
    <w:p w14:paraId="5D45984E">
      <w:pPr>
        <w:numPr>
          <w:ilvl w:val="0"/>
          <w:numId w:val="4"/>
        </w:numPr>
      </w:pPr>
      <w:r>
        <w:t>供货周期：合同签订后 30 日历天内完成全部设备生产、安装、调试，达到验收条件。</w:t>
      </w:r>
    </w:p>
    <w:p w14:paraId="51F0C8D8">
      <w:pPr>
        <w:numPr>
          <w:ilvl w:val="0"/>
          <w:numId w:val="4"/>
        </w:numPr>
      </w:pPr>
      <w:r>
        <w:t>验收标准：出厂预验收 + 现场 72 小时连续无故障试运行验收，交付全套图纸、源代码、操作手册、采集点表等竣工资料。</w:t>
      </w:r>
    </w:p>
    <w:p w14:paraId="1D55DE83">
      <w:pPr>
        <w:numPr>
          <w:ilvl w:val="0"/>
          <w:numId w:val="4"/>
        </w:numPr>
      </w:pPr>
      <w:r>
        <w:t>技术服务：7×24 小时远程支持，故障 2 小时内响应，24 小时内抵达现场；免费开展全流程操作、维保培训。</w:t>
      </w:r>
    </w:p>
    <w:p w14:paraId="02460B7B">
      <w:pPr>
        <w:numPr>
          <w:ilvl w:val="0"/>
          <w:numId w:val="4"/>
        </w:numPr>
      </w:pPr>
      <w:r>
        <w:t>质保要求：整体项目竣工验收合格后质保 12 个月，质保期内免费修复程序 BUG、更换故障元器件；质保期满后提供终身优惠技术支持与备件供应。</w:t>
      </w:r>
    </w:p>
    <w:p w14:paraId="0A673A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87DA6"/>
    <w:multiLevelType w:val="multilevel"/>
    <w:tmpl w:val="49F87D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3244FC"/>
    <w:multiLevelType w:val="multilevel"/>
    <w:tmpl w:val="5F3244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6B73A4A"/>
    <w:multiLevelType w:val="multilevel"/>
    <w:tmpl w:val="66B73A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C872397"/>
    <w:multiLevelType w:val="multilevel"/>
    <w:tmpl w:val="7C8723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69"/>
    <w:rsid w:val="00275A8C"/>
    <w:rsid w:val="004201A8"/>
    <w:rsid w:val="00500B69"/>
    <w:rsid w:val="008707C1"/>
    <w:rsid w:val="00A166D8"/>
    <w:rsid w:val="0DA4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1504</Words>
  <Characters>1786</Characters>
  <Lines>90</Lines>
  <Paragraphs>93</Paragraphs>
  <TotalTime>26</TotalTime>
  <ScaleCrop>false</ScaleCrop>
  <LinksUpToDate>false</LinksUpToDate>
  <CharactersWithSpaces>2217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2026-07-01T07:12:00Z</dcterms:created>
  <dc:creator>之初 钱</dc:creator>
  <cp:lastModifiedBy>.</cp:lastModifiedBy>
  <dcterms:modified xsi:type="dcterms:W3CDTF">2026-07-03T01:37:40Z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eyJoZGlkIjoiODIyYTE1NDBlZjlhMDUxODgwNjU1YzkxM2MxN2Q2OTciLCJ1c2VySWQiOiI1Nzg5Njk2NDgifQ==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F55DA8C3DA514A6B96EAFAD0CB7139E7_12</vt:lpwstr>
  </property>
</Properties>
</file>